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AB" w:rsidRDefault="00E763AB" w:rsidP="00E763AB">
      <w:pPr>
        <w:pStyle w:val="Cartable"/>
      </w:pPr>
      <w:r>
        <w:t>Page 260. Exercice 43.</w:t>
      </w:r>
    </w:p>
    <w:p w:rsidR="008F7A7A" w:rsidRPr="00734A64" w:rsidRDefault="008F7A7A" w:rsidP="008F7A7A">
      <w:pPr>
        <w:pStyle w:val="Cartable"/>
        <w:rPr>
          <w:color w:val="FF0000"/>
        </w:rPr>
      </w:pPr>
      <w:r w:rsidRPr="00734A64">
        <w:rPr>
          <w:color w:val="0000FF"/>
        </w:rPr>
        <w:t>Deux triangles ABC et DEF sont tels que :</w:t>
      </w:r>
      <w:r w:rsidRPr="00734A64">
        <w:rPr>
          <w:color w:val="0000FF"/>
        </w:rPr>
        <w:br/>
      </w: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B</m:t>
              </m:r>
            </m:e>
          </m:acc>
          <m:r>
            <w:rPr>
              <w:rFonts w:ascii="Cambria Math" w:hAnsi="Cambria Math"/>
              <w:color w:val="FF0000"/>
            </w:rPr>
            <m:t xml:space="preserve">= </m:t>
          </m:r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</m:acc>
        </m:oMath>
      </m:oMathPara>
    </w:p>
    <w:p w:rsidR="008F7A7A" w:rsidRPr="00734A64" w:rsidRDefault="008F7A7A" w:rsidP="008F7A7A">
      <w:pPr>
        <w:pStyle w:val="Cartable"/>
        <w:rPr>
          <w:color w:val="0000FF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CC00"/>
                </w:rPr>
              </m:ctrlPr>
            </m:accPr>
            <m:e>
              <m:r>
                <w:rPr>
                  <w:rFonts w:ascii="Cambria Math" w:hAnsi="Cambria Math"/>
                  <w:color w:val="00CC00"/>
                </w:rPr>
                <m:t xml:space="preserve">C </m:t>
              </m:r>
            </m:e>
          </m:acc>
          <m:r>
            <w:rPr>
              <w:rFonts w:ascii="Cambria Math" w:hAnsi="Cambria Math"/>
              <w:color w:val="00CC00"/>
            </w:rPr>
            <m:t xml:space="preserve">= </m:t>
          </m:r>
          <m:acc>
            <m:accPr>
              <m:ctrlPr>
                <w:rPr>
                  <w:rFonts w:ascii="Cambria Math" w:hAnsi="Cambria Math"/>
                  <w:i/>
                  <w:color w:val="00CC00"/>
                </w:rPr>
              </m:ctrlPr>
            </m:accPr>
            <m:e>
              <m:r>
                <w:rPr>
                  <w:rFonts w:ascii="Cambria Math" w:hAnsi="Cambria Math"/>
                  <w:color w:val="00CC00"/>
                </w:rPr>
                <m:t>D</m:t>
              </m:r>
            </m:e>
          </m:acc>
          <m:r>
            <w:rPr>
              <w:color w:val="00CC00"/>
            </w:rPr>
            <w:br/>
          </m:r>
        </m:oMath>
        <m:oMath>
          <m:r>
            <w:rPr>
              <w:rFonts w:ascii="Cambria Math" w:hAnsi="Cambria Math"/>
              <w:color w:val="0000FF"/>
            </w:rPr>
            <m:t>BC=EF=3</m:t>
          </m:r>
        </m:oMath>
      </m:oMathPara>
    </w:p>
    <w:p w:rsidR="00E763AB" w:rsidRDefault="00E763AB" w:rsidP="00E763AB">
      <w:pPr>
        <w:pStyle w:val="Cartable"/>
        <w:rPr>
          <w:b/>
        </w:rPr>
      </w:pPr>
      <w:r w:rsidRPr="008024F7">
        <w:rPr>
          <w:b/>
        </w:rPr>
        <w:t>Sont-ils égaux ?</w:t>
      </w:r>
    </w:p>
    <w:p w:rsidR="00E763AB" w:rsidRPr="008024F7" w:rsidRDefault="00E763AB" w:rsidP="00E763AB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AB"/>
    <w:rsid w:val="0003225C"/>
    <w:rsid w:val="00042A87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8F7A7A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763AB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54F8"/>
  <w15:chartTrackingRefBased/>
  <w15:docId w15:val="{C22CE211-2BCB-4C85-A063-A78472E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63A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2017-03-22T13:20:00Z</dcterms:created>
  <dcterms:modified xsi:type="dcterms:W3CDTF">2017-10-12T12:39:00Z</dcterms:modified>
</cp:coreProperties>
</file>