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07" w:rsidRDefault="00EF4A47" w:rsidP="00E36C07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AEEE69A" wp14:editId="1A117664">
            <wp:simplePos x="0" y="0"/>
            <wp:positionH relativeFrom="margin">
              <wp:align>left</wp:align>
            </wp:positionH>
            <wp:positionV relativeFrom="paragraph">
              <wp:posOffset>963295</wp:posOffset>
            </wp:positionV>
            <wp:extent cx="4838700" cy="3426460"/>
            <wp:effectExtent l="0" t="0" r="0" b="254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5C111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42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C07">
        <w:t>Page 243. Exercice 5. Triangle rectangle et bissectrice.</w:t>
      </w:r>
    </w:p>
    <w:p w:rsidR="00EF4A47" w:rsidRPr="001F276C" w:rsidRDefault="000E667A" w:rsidP="00E36C07">
      <w:pPr>
        <w:pStyle w:val="Cartable"/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PLM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KLP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 </m:t>
          </m:r>
          <m:r>
            <m:rPr>
              <m:sty m:val="p"/>
            </m:rPr>
            <w:br/>
          </m:r>
        </m:oMath>
        <m:oMath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MHL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=90°</m:t>
          </m:r>
          <m:r>
            <m:rPr>
              <m:sty m:val="p"/>
            </m:rPr>
            <w:rPr>
              <w:rFonts w:ascii="Cambria Math" w:hAnsi="Cambria Math"/>
            </w:rPr>
            <m:t>,</m:t>
          </m:r>
          <m:r>
            <m:rPr>
              <m:sty m:val="p"/>
            </m:rPr>
            <w:rPr>
              <w:rFonts w:ascii="Cambria Math" w:hAnsi="Cambria Math"/>
            </w:rPr>
            <m:t>  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KML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=90°</m:t>
          </m:r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LKM</m:t>
              </m:r>
            </m:e>
          </m:acc>
          <m:r>
            <w:rPr>
              <w:rFonts w:ascii="Cambria Math" w:hAnsi="Cambria Math"/>
            </w:rPr>
            <m:t>=26°</m:t>
          </m:r>
        </m:oMath>
      </m:oMathPara>
    </w:p>
    <w:p w:rsidR="00EF4A47" w:rsidRDefault="00EF4A47" w:rsidP="00E36C07">
      <w:pPr>
        <w:pStyle w:val="Cartable"/>
        <w:rPr>
          <w:b/>
        </w:rPr>
      </w:pPr>
      <w:r>
        <w:rPr>
          <w:color w:val="0000FF"/>
        </w:rPr>
        <w:t>Dans le triangle KLM ci-dess</w:t>
      </w:r>
      <w:r w:rsidRPr="000014A0">
        <w:rPr>
          <w:color w:val="0000FF"/>
        </w:rPr>
        <w:t xml:space="preserve">us, la bissectrice de </w:t>
      </w:r>
      <w:r w:rsidRPr="000014A0">
        <w:rPr>
          <w:color w:val="FF0000"/>
        </w:rPr>
        <w:t xml:space="preserve">l'angle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KLM</m:t>
            </m:r>
          </m:e>
        </m:acc>
      </m:oMath>
      <w:r w:rsidRPr="000014A0">
        <w:rPr>
          <w:color w:val="FF0000"/>
        </w:rPr>
        <w:t xml:space="preserve"> et la hauteur issue de M se coupent en </w:t>
      </w:r>
      <w:r w:rsidRPr="000014A0">
        <w:rPr>
          <w:color w:val="00CC00"/>
        </w:rPr>
        <w:t>un point O</w:t>
      </w:r>
      <w:r>
        <w:rPr>
          <w:color w:val="00CC00"/>
        </w:rPr>
        <w:t>.</w:t>
      </w:r>
      <w:bookmarkStart w:id="0" w:name="_GoBack"/>
      <w:bookmarkEnd w:id="0"/>
    </w:p>
    <w:p w:rsidR="00E36C07" w:rsidRPr="000014A0" w:rsidRDefault="00E36C07" w:rsidP="00E36C07">
      <w:pPr>
        <w:pStyle w:val="Cartable"/>
        <w:rPr>
          <w:b/>
        </w:rPr>
      </w:pPr>
      <w:r w:rsidRPr="000014A0">
        <w:rPr>
          <w:b/>
        </w:rPr>
        <w:lastRenderedPageBreak/>
        <w:t>Calcule (sans justifier) les mesures des angles nécessaires pour démontrer que le triangle POM est isocèle et précise en quel point.</w:t>
      </w:r>
    </w:p>
    <w:p w:rsidR="006E7255" w:rsidRDefault="006E7255" w:rsidP="008D6889">
      <w:pPr>
        <w:pStyle w:val="Cartable"/>
      </w:pPr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07"/>
    <w:rsid w:val="0003225C"/>
    <w:rsid w:val="000A2A64"/>
    <w:rsid w:val="000B0025"/>
    <w:rsid w:val="000E667A"/>
    <w:rsid w:val="00140D7B"/>
    <w:rsid w:val="001438B8"/>
    <w:rsid w:val="00153491"/>
    <w:rsid w:val="001D0F46"/>
    <w:rsid w:val="001F276C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D6889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36C07"/>
    <w:rsid w:val="00E73EF2"/>
    <w:rsid w:val="00EC6C0D"/>
    <w:rsid w:val="00ED22D2"/>
    <w:rsid w:val="00EF4A47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979C"/>
  <w15:chartTrackingRefBased/>
  <w15:docId w15:val="{DDF6D52D-73A5-4BC6-A72D-9AF59310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6C0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D68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5</cp:revision>
  <dcterms:created xsi:type="dcterms:W3CDTF">2017-01-27T14:42:00Z</dcterms:created>
  <dcterms:modified xsi:type="dcterms:W3CDTF">2017-05-11T19:24:00Z</dcterms:modified>
</cp:coreProperties>
</file>